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79"/>
          <w:szCs w:val="79"/>
          <w:bdr w:val="none" w:color="auto" w:sz="0" w:space="0"/>
          <w:lang w:val="en-US" w:eastAsia="zh-CN" w:bidi="ar"/>
        </w:rPr>
        <w:t>安徽建筑大学教务处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center"/>
        <w:rPr>
          <w:i w:val="0"/>
          <w:iCs w:val="0"/>
          <w:color w:val="FF0000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pict>
          <v:rect id="_x0000_i1025" o:spt="1" style="height:2.25pt;width:432pt;" fillcolor="#FF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校教函〔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2020〕111号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3"/>
          <w:szCs w:val="43"/>
          <w:bdr w:val="none" w:color="auto" w:sz="0" w:space="0"/>
          <w:lang w:val="en-US" w:eastAsia="zh-CN" w:bidi="ar"/>
        </w:rPr>
        <w:t>《安徽建筑大学大学英语教学改革实施办法（试行）》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43"/>
          <w:szCs w:val="43"/>
          <w:bdr w:val="none" w:color="auto" w:sz="0" w:space="0"/>
          <w:lang w:val="en-US" w:eastAsia="zh-CN" w:bidi="ar"/>
        </w:rPr>
        <w:t>补充规定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为进一步推进我校大学英语教学改革，根据学校2019版培养方案的规定，对大学英语教学补充规定如下：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1.大学英语基础课程分为三个级别，包括大学英语读写译1、大学英语视听说1、大学英语读写译2、大学英语视听说2、大学英语读写译3和大学英语视听说3。分别在第一、第二和第三学期开设；每门课程32学时，2学分，共12学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2.学校鼓励学生从第一学期开始参加全国大学英语四级考试（CET4）。学生在第一学期或第二学期参加CET4考试且成绩≥425分，视为通过CET4，将获得2学分大学英语课程的学分奖励；在第三学期通过CET4的，不予学分奖励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3.若学生因通过CET4考试获得学分奖励，剩余学分需通过修读大学英语高级课程获得。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4.此补充规定自2019级本科学分制学生（不包括英语、艺术类、中外合作、专升本等相关专业）开始施行，由教务处负责解释。2017级、2018级本科学分制学生仍沿用校字[2017]101号文件。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C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